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E525A" w:rsidRDefault="005E525A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FB17FD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81510D">
        <w:rPr>
          <w:b/>
          <w:color w:val="FEB837"/>
          <w:sz w:val="32"/>
          <w:szCs w:val="32"/>
        </w:rPr>
        <w:t>19</w:t>
      </w:r>
      <w:r w:rsidR="008E454A">
        <w:rPr>
          <w:b/>
          <w:color w:val="FEB837"/>
          <w:sz w:val="32"/>
          <w:szCs w:val="32"/>
        </w:rPr>
        <w:t xml:space="preserve"> 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Default="00B81FC4" w:rsidP="00BF2EA5">
      <w:pPr>
        <w:pStyle w:val="Lijstalinea"/>
        <w:spacing w:after="0"/>
        <w:ind w:left="0"/>
      </w:pPr>
      <w:r>
        <w:t xml:space="preserve">Beste bewoner, familie, mantelzorger, </w:t>
      </w:r>
    </w:p>
    <w:p w:rsidR="00BD44EC" w:rsidRDefault="00BD44EC" w:rsidP="00BF2EA5">
      <w:pPr>
        <w:pStyle w:val="Lijstalinea"/>
        <w:spacing w:after="0"/>
        <w:ind w:left="0"/>
      </w:pPr>
    </w:p>
    <w:p w:rsidR="0082374B" w:rsidRDefault="0081510D" w:rsidP="00AC4F5E">
      <w:pPr>
        <w:pStyle w:val="Lijstalinea"/>
        <w:spacing w:after="0"/>
        <w:ind w:left="0"/>
      </w:pPr>
      <w:r>
        <w:t xml:space="preserve">We zijn ondertussen weer een paar weken verder en wij willen iedereen danken voor het </w:t>
      </w:r>
      <w:r w:rsidR="00087178">
        <w:t xml:space="preserve">goed naleven van de bezoekregeling.   </w:t>
      </w:r>
      <w:r w:rsidR="000005CE">
        <w:t xml:space="preserve">In stressvolle tijden is het aangenaam te ervaren dat iedereen de zaken ernstig neemt.  </w:t>
      </w:r>
    </w:p>
    <w:p w:rsidR="000005CE" w:rsidRDefault="000005CE" w:rsidP="00AC4F5E">
      <w:pPr>
        <w:pStyle w:val="Lijstalinea"/>
        <w:spacing w:after="0"/>
        <w:ind w:left="0"/>
      </w:pPr>
    </w:p>
    <w:p w:rsidR="00087178" w:rsidRDefault="000005CE" w:rsidP="00AC4F5E">
      <w:pPr>
        <w:pStyle w:val="Lijstalinea"/>
        <w:spacing w:after="0"/>
        <w:ind w:left="0"/>
      </w:pPr>
      <w:r>
        <w:t xml:space="preserve">De maatregelen versoepelen is nog niet aan de orde, maar een aantal zaken kunnen we al bijsturen zonder afbreuk te moeten doen aan de veiligheid van de bewoners, medewerkers en bezoekers. </w:t>
      </w:r>
    </w:p>
    <w:p w:rsidR="005E525A" w:rsidRDefault="005E525A" w:rsidP="00AC4F5E">
      <w:pPr>
        <w:pStyle w:val="Lijstalinea"/>
        <w:spacing w:after="0"/>
        <w:ind w:left="0"/>
      </w:pPr>
    </w:p>
    <w:p w:rsidR="00615C87" w:rsidRDefault="00615C87" w:rsidP="00AC4F5E">
      <w:pPr>
        <w:pStyle w:val="Lijstalinea"/>
        <w:spacing w:after="0"/>
        <w:ind w:left="0"/>
      </w:pPr>
      <w:r>
        <w:t xml:space="preserve">Voor de </w:t>
      </w:r>
      <w:r w:rsidRPr="005E525A">
        <w:rPr>
          <w:b/>
        </w:rPr>
        <w:t>vaste mantelzorger</w:t>
      </w:r>
      <w:r>
        <w:t xml:space="preserve"> verandert er niets. </w:t>
      </w:r>
      <w:r w:rsidR="005E525A">
        <w:t xml:space="preserve">  </w:t>
      </w:r>
      <w:r w:rsidR="00AA382F">
        <w:t xml:space="preserve">Bezoek op de kamer blijft beperkt tot één persoon. </w:t>
      </w:r>
    </w:p>
    <w:p w:rsidR="00AA382F" w:rsidRDefault="00AA382F" w:rsidP="00AC4F5E">
      <w:pPr>
        <w:pStyle w:val="Lijstalinea"/>
        <w:spacing w:after="0"/>
        <w:ind w:left="0"/>
      </w:pPr>
    </w:p>
    <w:p w:rsidR="00615C87" w:rsidRDefault="00615C87" w:rsidP="00AC4F5E">
      <w:pPr>
        <w:pStyle w:val="Lijstalinea"/>
        <w:spacing w:after="0"/>
        <w:ind w:left="0"/>
      </w:pPr>
      <w:r>
        <w:t xml:space="preserve">Het </w:t>
      </w:r>
      <w:r w:rsidRPr="005E525A">
        <w:rPr>
          <w:b/>
        </w:rPr>
        <w:t>bezoek in de cafetaria</w:t>
      </w:r>
      <w:r>
        <w:t xml:space="preserve"> </w:t>
      </w:r>
      <w:r w:rsidR="00AF521A">
        <w:t xml:space="preserve">breiden </w:t>
      </w:r>
      <w:r>
        <w:t xml:space="preserve">we </w:t>
      </w:r>
      <w:r w:rsidR="00AF521A">
        <w:t xml:space="preserve">vanaf zaterdag 21 november uit : </w:t>
      </w:r>
    </w:p>
    <w:p w:rsidR="00C34977" w:rsidRDefault="00615C87" w:rsidP="00C34977">
      <w:pPr>
        <w:spacing w:after="0"/>
        <w:rPr>
          <w:rFonts w:cstheme="minorHAnsi"/>
        </w:rPr>
      </w:pPr>
      <w:r w:rsidRPr="00615C87">
        <w:rPr>
          <w:rFonts w:cstheme="minorHAnsi"/>
        </w:rPr>
        <w:t xml:space="preserve">    </w:t>
      </w:r>
    </w:p>
    <w:p w:rsidR="00C34977" w:rsidRPr="00615C87" w:rsidRDefault="00615C87" w:rsidP="00615C8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 xml:space="preserve">De </w:t>
      </w:r>
      <w:r w:rsidR="00C34977" w:rsidRPr="00615C87">
        <w:rPr>
          <w:rFonts w:cstheme="minorHAnsi"/>
        </w:rPr>
        <w:t xml:space="preserve">partner </w:t>
      </w:r>
      <w:r>
        <w:rPr>
          <w:rFonts w:cstheme="minorHAnsi"/>
        </w:rPr>
        <w:t>van de extra bezoeker mag mee</w:t>
      </w:r>
      <w:r w:rsidR="00C34977" w:rsidRPr="00615C87">
        <w:rPr>
          <w:rFonts w:cstheme="minorHAnsi"/>
        </w:rPr>
        <w:t xml:space="preserve"> op bezoek komen.  </w:t>
      </w:r>
    </w:p>
    <w:p w:rsidR="00C34977" w:rsidRDefault="00615C87" w:rsidP="00615C87">
      <w:pPr>
        <w:pStyle w:val="Lijstalinea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 xml:space="preserve">Ook in het weekend kan </w:t>
      </w:r>
      <w:r w:rsidR="00A72E46">
        <w:rPr>
          <w:rFonts w:cstheme="minorHAnsi"/>
        </w:rPr>
        <w:t xml:space="preserve">de extra bezoeker </w:t>
      </w:r>
      <w:r w:rsidR="005E525A">
        <w:rPr>
          <w:rFonts w:cstheme="minorHAnsi"/>
        </w:rPr>
        <w:t xml:space="preserve">in de namiddag </w:t>
      </w:r>
      <w:r w:rsidR="00A72E46">
        <w:rPr>
          <w:rFonts w:cstheme="minorHAnsi"/>
        </w:rPr>
        <w:t xml:space="preserve">op bezoek komen. </w:t>
      </w:r>
      <w:bookmarkStart w:id="0" w:name="_GoBack"/>
      <w:bookmarkEnd w:id="0"/>
    </w:p>
    <w:p w:rsidR="005E525A" w:rsidRPr="00AA382F" w:rsidRDefault="005E525A" w:rsidP="00AA382F">
      <w:pPr>
        <w:spacing w:after="0"/>
        <w:ind w:left="360"/>
        <w:rPr>
          <w:rFonts w:cstheme="minorHAnsi"/>
        </w:rPr>
      </w:pPr>
    </w:p>
    <w:p w:rsidR="005E525A" w:rsidRPr="00615C87" w:rsidRDefault="005E525A" w:rsidP="005E525A">
      <w:pPr>
        <w:pStyle w:val="Lijstalinea"/>
        <w:spacing w:after="0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7"/>
        <w:gridCol w:w="1622"/>
        <w:gridCol w:w="1344"/>
        <w:gridCol w:w="1642"/>
        <w:gridCol w:w="1603"/>
        <w:gridCol w:w="1446"/>
      </w:tblGrid>
      <w:tr w:rsidR="00A72E46" w:rsidRPr="00B93AC6" w:rsidTr="00AA382F">
        <w:tc>
          <w:tcPr>
            <w:tcW w:w="2919" w:type="dxa"/>
            <w:gridSpan w:val="2"/>
            <w:shd w:val="clear" w:color="auto" w:fill="FFFF00"/>
          </w:tcPr>
          <w:p w:rsidR="00A72E4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KORENVELD</w:t>
            </w:r>
          </w:p>
          <w:p w:rsidR="00A72E46" w:rsidRPr="00B93AC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 xml:space="preserve">DINSDAG  </w:t>
            </w: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en DONDERDAG</w:t>
            </w:r>
          </w:p>
        </w:tc>
        <w:tc>
          <w:tcPr>
            <w:tcW w:w="2986" w:type="dxa"/>
            <w:gridSpan w:val="2"/>
            <w:shd w:val="clear" w:color="auto" w:fill="51F52B"/>
          </w:tcPr>
          <w:p w:rsidR="00A72E4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BOOMGAARD</w:t>
            </w:r>
          </w:p>
          <w:p w:rsidR="00A72E46" w:rsidRPr="00B93AC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 xml:space="preserve">WOENSDAG </w:t>
            </w: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en VRIJDAG</w:t>
            </w:r>
          </w:p>
        </w:tc>
        <w:tc>
          <w:tcPr>
            <w:tcW w:w="3049" w:type="dxa"/>
            <w:gridSpan w:val="2"/>
            <w:shd w:val="clear" w:color="auto" w:fill="auto"/>
          </w:tcPr>
          <w:p w:rsidR="00A72E46" w:rsidRDefault="00A72E46" w:rsidP="00A72E46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CF071E">
              <w:rPr>
                <w:rFonts w:cstheme="minorHAnsi"/>
                <w:b/>
                <w:color w:val="000000" w:themeColor="text1"/>
                <w:shd w:val="clear" w:color="auto" w:fill="FFFFFF"/>
              </w:rPr>
              <w:t>WEEKEND</w:t>
            </w:r>
          </w:p>
          <w:p w:rsidR="00A72E46" w:rsidRPr="00CF071E" w:rsidRDefault="00A72E46" w:rsidP="00A72E46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volgens bezoekdag (1)</w:t>
            </w:r>
          </w:p>
        </w:tc>
      </w:tr>
      <w:tr w:rsidR="00A72E46" w:rsidRPr="00B93AC6" w:rsidTr="00AA382F">
        <w:tc>
          <w:tcPr>
            <w:tcW w:w="7508" w:type="dxa"/>
            <w:gridSpan w:val="5"/>
            <w:shd w:val="clear" w:color="auto" w:fill="FF0000"/>
          </w:tcPr>
          <w:p w:rsidR="00A72E46" w:rsidRDefault="00AF521A" w:rsidP="00AF521A">
            <w:pPr>
              <w:jc w:val="center"/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 xml:space="preserve">                          </w:t>
            </w:r>
            <w:r w:rsidR="00A72E46"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>BLOEMENTUIN</w:t>
            </w:r>
            <w:r w:rsidR="00A72E46" w:rsidRPr="004840F3"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 xml:space="preserve"> : OP AFSPRAAK</w:t>
            </w:r>
          </w:p>
        </w:tc>
        <w:tc>
          <w:tcPr>
            <w:tcW w:w="1446" w:type="dxa"/>
            <w:shd w:val="clear" w:color="auto" w:fill="FF0000"/>
          </w:tcPr>
          <w:p w:rsidR="00A72E46" w:rsidRDefault="00A72E46" w:rsidP="00804CD2">
            <w:pPr>
              <w:jc w:val="center"/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</w:pPr>
          </w:p>
        </w:tc>
      </w:tr>
      <w:tr w:rsidR="00A72E46" w:rsidRPr="000B42EA" w:rsidTr="00AA382F">
        <w:tc>
          <w:tcPr>
            <w:tcW w:w="1297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622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344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642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603" w:type="dxa"/>
          </w:tcPr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446" w:type="dxa"/>
          </w:tcPr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</w:tr>
      <w:tr w:rsidR="00A72E46" w:rsidRPr="000B42EA" w:rsidTr="00AA382F">
        <w:tc>
          <w:tcPr>
            <w:tcW w:w="1297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622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344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642" w:type="dxa"/>
          </w:tcPr>
          <w:p w:rsidR="00A72E46" w:rsidRPr="000B42EA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603" w:type="dxa"/>
          </w:tcPr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446" w:type="dxa"/>
          </w:tcPr>
          <w:p w:rsidR="00A72E46" w:rsidRDefault="00A72E46" w:rsidP="00804CD2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</w:tr>
      <w:tr w:rsidR="00A72E46" w:rsidTr="00AA382F">
        <w:tc>
          <w:tcPr>
            <w:tcW w:w="1297" w:type="dxa"/>
          </w:tcPr>
          <w:p w:rsidR="00A72E46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  <w:p w:rsidR="00A72E46" w:rsidRPr="000B42EA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622" w:type="dxa"/>
          </w:tcPr>
          <w:p w:rsidR="00A72E46" w:rsidRPr="000B42EA" w:rsidRDefault="00A72E46" w:rsidP="00804CD2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 mantelzorger</w:t>
            </w:r>
          </w:p>
        </w:tc>
        <w:tc>
          <w:tcPr>
            <w:tcW w:w="1344" w:type="dxa"/>
          </w:tcPr>
          <w:p w:rsidR="00A72E46" w:rsidRPr="000B42EA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</w:tc>
        <w:tc>
          <w:tcPr>
            <w:tcW w:w="1642" w:type="dxa"/>
          </w:tcPr>
          <w:p w:rsidR="00A72E46" w:rsidRDefault="00A72E46" w:rsidP="00804CD2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 mantelzorger</w:t>
            </w:r>
          </w:p>
        </w:tc>
        <w:tc>
          <w:tcPr>
            <w:tcW w:w="1603" w:type="dxa"/>
          </w:tcPr>
          <w:p w:rsidR="00A72E46" w:rsidRPr="00AF521A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F521A"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Iedereen(2)</w:t>
            </w:r>
          </w:p>
        </w:tc>
        <w:tc>
          <w:tcPr>
            <w:tcW w:w="1446" w:type="dxa"/>
          </w:tcPr>
          <w:p w:rsidR="00A72E46" w:rsidRDefault="00A72E46" w:rsidP="00804CD2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vaste</w:t>
            </w:r>
          </w:p>
          <w:p w:rsidR="00A72E46" w:rsidRDefault="00A72E46" w:rsidP="00804CD2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mantelzorger</w:t>
            </w:r>
          </w:p>
        </w:tc>
      </w:tr>
      <w:tr w:rsidR="00A72E46" w:rsidRPr="00AD0274" w:rsidTr="00AA382F">
        <w:tc>
          <w:tcPr>
            <w:tcW w:w="1297" w:type="dxa"/>
          </w:tcPr>
          <w:p w:rsidR="00A72E46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622" w:type="dxa"/>
          </w:tcPr>
          <w:p w:rsidR="00A72E46" w:rsidRPr="00AD0274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1344" w:type="dxa"/>
          </w:tcPr>
          <w:p w:rsidR="00A72E46" w:rsidRPr="000B42EA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642" w:type="dxa"/>
          </w:tcPr>
          <w:p w:rsidR="00A72E46" w:rsidRPr="00AD0274" w:rsidRDefault="00A72E46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1603" w:type="dxa"/>
          </w:tcPr>
          <w:p w:rsidR="00A72E46" w:rsidRDefault="005E525A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Ingang via </w:t>
            </w:r>
          </w:p>
          <w:p w:rsidR="005E525A" w:rsidRPr="00AD0274" w:rsidRDefault="005E525A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cafetaria</w:t>
            </w:r>
          </w:p>
        </w:tc>
        <w:tc>
          <w:tcPr>
            <w:tcW w:w="1446" w:type="dxa"/>
          </w:tcPr>
          <w:p w:rsidR="00A72E46" w:rsidRDefault="005E525A" w:rsidP="00804CD2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</w:tr>
    </w:tbl>
    <w:p w:rsidR="00A72E46" w:rsidRDefault="00A72E46" w:rsidP="00A72E46">
      <w:pPr>
        <w:spacing w:after="0"/>
      </w:pPr>
    </w:p>
    <w:p w:rsidR="00A72E46" w:rsidRDefault="00A72E46" w:rsidP="00A72E46">
      <w:pPr>
        <w:pStyle w:val="Lijstalinea"/>
        <w:numPr>
          <w:ilvl w:val="0"/>
          <w:numId w:val="35"/>
        </w:numPr>
        <w:spacing w:after="0"/>
      </w:pPr>
      <w:r>
        <w:t>Te raadplegen via de afsprakentool</w:t>
      </w:r>
      <w:r w:rsidR="00AA382F">
        <w:t xml:space="preserve"> op </w:t>
      </w:r>
      <w:hyperlink r:id="rId9" w:history="1">
        <w:r w:rsidR="00AA382F" w:rsidRPr="00D70166">
          <w:rPr>
            <w:rStyle w:val="Hyperlink"/>
          </w:rPr>
          <w:t>www.samenouder.be</w:t>
        </w:r>
      </w:hyperlink>
      <w:r w:rsidR="00AA382F">
        <w:t xml:space="preserve"> </w:t>
      </w:r>
    </w:p>
    <w:p w:rsidR="00A72E46" w:rsidRDefault="00A72E46" w:rsidP="00A72E46">
      <w:pPr>
        <w:pStyle w:val="Lijstalinea"/>
        <w:numPr>
          <w:ilvl w:val="0"/>
          <w:numId w:val="35"/>
        </w:numPr>
        <w:spacing w:after="0"/>
      </w:pPr>
      <w:r>
        <w:t xml:space="preserve">Vaste mantelzorger </w:t>
      </w:r>
      <w:r w:rsidR="00AF521A">
        <w:t xml:space="preserve">(op kamer) </w:t>
      </w:r>
      <w:r>
        <w:t>of extra bezoeker</w:t>
      </w:r>
      <w:r w:rsidR="00AF521A">
        <w:t xml:space="preserve"> (in de cafetaria)</w:t>
      </w:r>
    </w:p>
    <w:p w:rsidR="00AA382F" w:rsidRDefault="00AA382F" w:rsidP="00AA382F">
      <w:pPr>
        <w:spacing w:after="0"/>
      </w:pPr>
    </w:p>
    <w:p w:rsidR="00AA382F" w:rsidRDefault="00AA382F" w:rsidP="00AA382F">
      <w:pPr>
        <w:spacing w:after="0"/>
      </w:pPr>
    </w:p>
    <w:p w:rsidR="00AA382F" w:rsidRDefault="00AA382F" w:rsidP="00AA382F">
      <w:pPr>
        <w:spacing w:after="0"/>
      </w:pPr>
      <w:r>
        <w:t xml:space="preserve">Zowel de Federale maatregelen als de richtlijnen van het Vlaams Agentschap voor Zorg en Gezondheid blijven nog van kracht.  </w:t>
      </w:r>
      <w:r>
        <w:t xml:space="preserve">Buiten deze veranderingen, blijven </w:t>
      </w:r>
      <w:r>
        <w:t xml:space="preserve">dus </w:t>
      </w:r>
      <w:r>
        <w:t>alle richtlijnen geformuleerd in de nieuwsbrief van 2 november 2020 van toepassing.</w:t>
      </w:r>
    </w:p>
    <w:p w:rsidR="00AA382F" w:rsidRDefault="00AA382F" w:rsidP="00AA382F">
      <w:pPr>
        <w:spacing w:after="0"/>
      </w:pPr>
      <w:r>
        <w:t xml:space="preserve"> </w:t>
      </w:r>
    </w:p>
    <w:p w:rsidR="00BD44EC" w:rsidRDefault="005E525A" w:rsidP="00BD44EC">
      <w:pPr>
        <w:spacing w:after="0"/>
        <w:rPr>
          <w:rFonts w:cstheme="minorHAnsi"/>
        </w:rPr>
      </w:pPr>
      <w:r>
        <w:rPr>
          <w:rFonts w:cstheme="minorHAnsi"/>
        </w:rPr>
        <w:t>Wij gunnen iedereen een rustig bezoek zonder tijdsdruk maar indien het maximum aantal bezoekers in de cafetaria wordt overschreden, kan u gevraagd worden om uw bezoek te beëindigen</w:t>
      </w:r>
      <w:r w:rsidR="00AA382F">
        <w:rPr>
          <w:rFonts w:cstheme="minorHAnsi"/>
        </w:rPr>
        <w:t xml:space="preserve">.  </w:t>
      </w:r>
    </w:p>
    <w:p w:rsidR="00BD44EC" w:rsidRDefault="00BD44EC" w:rsidP="00BD44EC">
      <w:pPr>
        <w:spacing w:after="0"/>
        <w:rPr>
          <w:rFonts w:cstheme="minorHAnsi"/>
        </w:rPr>
      </w:pPr>
    </w:p>
    <w:p w:rsidR="00914134" w:rsidRDefault="00914134" w:rsidP="00914134">
      <w:pPr>
        <w:pStyle w:val="Lijstalinea"/>
        <w:spacing w:after="0"/>
      </w:pPr>
    </w:p>
    <w:p w:rsidR="00AF521A" w:rsidRDefault="00AF521A" w:rsidP="00AF521A">
      <w:pPr>
        <w:spacing w:after="0"/>
        <w:ind w:left="24"/>
        <w:contextualSpacing/>
        <w:rPr>
          <w:b/>
          <w:color w:val="E36C0A" w:themeColor="accent6" w:themeShade="BF"/>
          <w:sz w:val="28"/>
          <w:szCs w:val="28"/>
        </w:rPr>
      </w:pPr>
    </w:p>
    <w:p w:rsidR="00AF521A" w:rsidRDefault="00AF521A" w:rsidP="00AF521A">
      <w:pPr>
        <w:spacing w:after="0"/>
        <w:ind w:left="24"/>
        <w:contextualSpacing/>
        <w:rPr>
          <w:b/>
          <w:color w:val="E36C0A" w:themeColor="accent6" w:themeShade="BF"/>
          <w:sz w:val="28"/>
          <w:szCs w:val="28"/>
        </w:rPr>
      </w:pPr>
    </w:p>
    <w:p w:rsidR="00AF521A" w:rsidRDefault="00AF521A" w:rsidP="00AF521A">
      <w:pPr>
        <w:spacing w:after="0"/>
        <w:ind w:left="24"/>
        <w:contextualSpacing/>
        <w:rPr>
          <w:b/>
          <w:color w:val="E36C0A" w:themeColor="accent6" w:themeShade="BF"/>
          <w:sz w:val="28"/>
          <w:szCs w:val="28"/>
        </w:rPr>
      </w:pPr>
    </w:p>
    <w:p w:rsidR="00AF521A" w:rsidRDefault="00AF521A" w:rsidP="00F91D70">
      <w:pPr>
        <w:pStyle w:val="Lijstalinea"/>
        <w:spacing w:after="0"/>
        <w:ind w:left="0"/>
        <w:rPr>
          <w:b/>
          <w:color w:val="E36C0A" w:themeColor="accent6" w:themeShade="BF"/>
        </w:rPr>
      </w:pPr>
    </w:p>
    <w:p w:rsidR="00AF521A" w:rsidRDefault="00AF521A" w:rsidP="00F91D70">
      <w:pPr>
        <w:pStyle w:val="Lijstalinea"/>
        <w:spacing w:after="0"/>
        <w:ind w:left="0"/>
        <w:rPr>
          <w:b/>
          <w:color w:val="E36C0A" w:themeColor="accent6" w:themeShade="BF"/>
        </w:rPr>
      </w:pPr>
    </w:p>
    <w:p w:rsidR="008658E6" w:rsidRPr="008236F3" w:rsidRDefault="007A7D92" w:rsidP="00F91D70">
      <w:pPr>
        <w:pStyle w:val="Lijstalinea"/>
        <w:spacing w:after="0"/>
        <w:ind w:left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Tot slot</w:t>
      </w:r>
    </w:p>
    <w:p w:rsidR="008236F3" w:rsidRDefault="008236F3" w:rsidP="00F91D70">
      <w:pPr>
        <w:pStyle w:val="Lijstalinea"/>
        <w:spacing w:after="0"/>
        <w:ind w:left="0"/>
      </w:pPr>
    </w:p>
    <w:p w:rsidR="0094267F" w:rsidRDefault="00BD44EC" w:rsidP="00F91D70">
      <w:pPr>
        <w:pStyle w:val="Lijstalinea"/>
        <w:spacing w:after="0"/>
        <w:ind w:left="0"/>
      </w:pPr>
      <w:r>
        <w:t xml:space="preserve">Wil je een afspraak maken voor een videochat : mail dan naar onze ergotherapeuten </w:t>
      </w:r>
      <w:hyperlink r:id="rId10" w:history="1">
        <w:r w:rsidRPr="002C52A9">
          <w:rPr>
            <w:rStyle w:val="Hyperlink"/>
          </w:rPr>
          <w:t>rani.quintelier@samenouder.be</w:t>
        </w:r>
      </w:hyperlink>
      <w:r>
        <w:t xml:space="preserve"> of naar </w:t>
      </w:r>
      <w:hyperlink r:id="rId11" w:history="1">
        <w:r w:rsidRPr="002C52A9">
          <w:rPr>
            <w:rStyle w:val="Hyperlink"/>
          </w:rPr>
          <w:t>evy.deyaert@samenouder.be</w:t>
        </w:r>
      </w:hyperlink>
      <w:r>
        <w:t xml:space="preserve"> </w:t>
      </w:r>
    </w:p>
    <w:p w:rsidR="007A7D92" w:rsidRDefault="007A7D92" w:rsidP="00F91D70">
      <w:pPr>
        <w:pStyle w:val="Lijstalinea"/>
        <w:spacing w:after="0"/>
        <w:ind w:left="0"/>
      </w:pPr>
    </w:p>
    <w:p w:rsidR="007A7D92" w:rsidRDefault="007A7D92" w:rsidP="007A7D92">
      <w:pPr>
        <w:pStyle w:val="Lijstalinea"/>
        <w:spacing w:after="0"/>
        <w:ind w:left="0"/>
        <w:rPr>
          <w:rFonts w:cstheme="minorHAnsi"/>
        </w:rPr>
      </w:pPr>
    </w:p>
    <w:p w:rsidR="00FB67BA" w:rsidRPr="00A5241F" w:rsidRDefault="00A5241F" w:rsidP="00670E8E">
      <w:pPr>
        <w:spacing w:after="0"/>
      </w:pPr>
      <w:r>
        <w:t>Hou het veilig en gezond</w:t>
      </w:r>
      <w:r w:rsidR="00F91D70">
        <w:t>!</w:t>
      </w:r>
    </w:p>
    <w:p w:rsidR="003439F6" w:rsidRDefault="009F7E54" w:rsidP="00670E8E">
      <w:pPr>
        <w:spacing w:after="0"/>
      </w:pPr>
      <w:r>
        <w:t>#</w:t>
      </w:r>
      <w:proofErr w:type="spellStart"/>
      <w:r>
        <w:t>samentegencorona</w:t>
      </w:r>
      <w:proofErr w:type="spellEnd"/>
      <w:r>
        <w:t xml:space="preserve"> #</w:t>
      </w:r>
      <w:proofErr w:type="spellStart"/>
      <w:r>
        <w:t>zorggoedvoorjezelf</w:t>
      </w:r>
      <w:proofErr w:type="spellEnd"/>
      <w:r>
        <w:t xml:space="preserve"> #</w:t>
      </w:r>
      <w:proofErr w:type="spellStart"/>
      <w:r>
        <w:t>zorggoedvoormekaar</w:t>
      </w:r>
      <w:proofErr w:type="spellEnd"/>
    </w:p>
    <w:p w:rsidR="00FB67BA" w:rsidRDefault="00FB67BA" w:rsidP="00670E8E">
      <w:pPr>
        <w:spacing w:after="0"/>
      </w:pPr>
    </w:p>
    <w:p w:rsidR="0094267F" w:rsidRDefault="0094267F" w:rsidP="00670E8E">
      <w:pPr>
        <w:spacing w:after="0"/>
      </w:pPr>
    </w:p>
    <w:p w:rsidR="00670E8E" w:rsidRDefault="00670E8E" w:rsidP="00670E8E">
      <w:pPr>
        <w:spacing w:after="0"/>
      </w:pPr>
      <w:r>
        <w:t>Met vriendelijke groet</w:t>
      </w:r>
      <w:r w:rsidR="009F7E54">
        <w:t>,</w:t>
      </w:r>
    </w:p>
    <w:p w:rsidR="0080697F" w:rsidRDefault="0080697F" w:rsidP="00670E8E">
      <w:pPr>
        <w:spacing w:after="0"/>
      </w:pPr>
    </w:p>
    <w:p w:rsidR="00F91D70" w:rsidRDefault="0094267F" w:rsidP="00670E8E">
      <w:pPr>
        <w:spacing w:after="0"/>
      </w:pPr>
      <w:r>
        <w:t>Wegens het Hofstede zorgteam</w:t>
      </w:r>
    </w:p>
    <w:p w:rsidR="00F91D70" w:rsidRDefault="00F91D70" w:rsidP="00670E8E">
      <w:pPr>
        <w:spacing w:after="0"/>
      </w:pPr>
    </w:p>
    <w:p w:rsidR="00845031" w:rsidRDefault="0094267F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Christel Vande Kerckhove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82374B">
      <w:footerReference w:type="default" r:id="rId12"/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599" w:rsidRDefault="00713599" w:rsidP="005C7400">
      <w:pPr>
        <w:spacing w:after="0" w:line="240" w:lineRule="auto"/>
      </w:pPr>
      <w:r>
        <w:separator/>
      </w:r>
    </w:p>
  </w:endnote>
  <w:end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5D5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599" w:rsidRDefault="00713599" w:rsidP="005C7400">
      <w:pPr>
        <w:spacing w:after="0" w:line="240" w:lineRule="auto"/>
      </w:pPr>
      <w:r>
        <w:separator/>
      </w:r>
    </w:p>
  </w:footnote>
  <w:footnote w:type="continuationSeparator" w:id="0">
    <w:p w:rsidR="00713599" w:rsidRDefault="0071359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26"/>
  </w:num>
  <w:num w:numId="5">
    <w:abstractNumId w:val="12"/>
  </w:num>
  <w:num w:numId="6">
    <w:abstractNumId w:val="7"/>
  </w:num>
  <w:num w:numId="7">
    <w:abstractNumId w:val="33"/>
  </w:num>
  <w:num w:numId="8">
    <w:abstractNumId w:val="3"/>
  </w:num>
  <w:num w:numId="9">
    <w:abstractNumId w:val="19"/>
  </w:num>
  <w:num w:numId="10">
    <w:abstractNumId w:val="1"/>
  </w:num>
  <w:num w:numId="11">
    <w:abstractNumId w:val="18"/>
  </w:num>
  <w:num w:numId="12">
    <w:abstractNumId w:val="14"/>
  </w:num>
  <w:num w:numId="13">
    <w:abstractNumId w:val="28"/>
  </w:num>
  <w:num w:numId="14">
    <w:abstractNumId w:val="24"/>
  </w:num>
  <w:num w:numId="15">
    <w:abstractNumId w:val="5"/>
  </w:num>
  <w:num w:numId="16">
    <w:abstractNumId w:val="35"/>
  </w:num>
  <w:num w:numId="17">
    <w:abstractNumId w:val="0"/>
  </w:num>
  <w:num w:numId="18">
    <w:abstractNumId w:val="13"/>
  </w:num>
  <w:num w:numId="19">
    <w:abstractNumId w:val="6"/>
  </w:num>
  <w:num w:numId="20">
    <w:abstractNumId w:val="34"/>
  </w:num>
  <w:num w:numId="21">
    <w:abstractNumId w:val="31"/>
  </w:num>
  <w:num w:numId="22">
    <w:abstractNumId w:val="8"/>
  </w:num>
  <w:num w:numId="23">
    <w:abstractNumId w:val="22"/>
  </w:num>
  <w:num w:numId="24">
    <w:abstractNumId w:val="15"/>
  </w:num>
  <w:num w:numId="25">
    <w:abstractNumId w:val="4"/>
  </w:num>
  <w:num w:numId="26">
    <w:abstractNumId w:val="29"/>
  </w:num>
  <w:num w:numId="27">
    <w:abstractNumId w:val="17"/>
  </w:num>
  <w:num w:numId="28">
    <w:abstractNumId w:val="32"/>
  </w:num>
  <w:num w:numId="29">
    <w:abstractNumId w:val="27"/>
  </w:num>
  <w:num w:numId="30">
    <w:abstractNumId w:val="2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2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1FAA"/>
    <w:rsid w:val="000104C9"/>
    <w:rsid w:val="000133ED"/>
    <w:rsid w:val="000147AC"/>
    <w:rsid w:val="000174A4"/>
    <w:rsid w:val="00021F13"/>
    <w:rsid w:val="000314B9"/>
    <w:rsid w:val="00031933"/>
    <w:rsid w:val="0006043D"/>
    <w:rsid w:val="00072A92"/>
    <w:rsid w:val="00087178"/>
    <w:rsid w:val="00087567"/>
    <w:rsid w:val="000A13A5"/>
    <w:rsid w:val="000B219E"/>
    <w:rsid w:val="000B7F22"/>
    <w:rsid w:val="000C53F6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4D84"/>
    <w:rsid w:val="00226362"/>
    <w:rsid w:val="00227849"/>
    <w:rsid w:val="002338D3"/>
    <w:rsid w:val="00245B91"/>
    <w:rsid w:val="00253802"/>
    <w:rsid w:val="00263FA7"/>
    <w:rsid w:val="002745AE"/>
    <w:rsid w:val="002745B9"/>
    <w:rsid w:val="002777D3"/>
    <w:rsid w:val="00283B53"/>
    <w:rsid w:val="00291337"/>
    <w:rsid w:val="00294429"/>
    <w:rsid w:val="0029662C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439F6"/>
    <w:rsid w:val="003521CC"/>
    <w:rsid w:val="003545B8"/>
    <w:rsid w:val="0035586C"/>
    <w:rsid w:val="003739CD"/>
    <w:rsid w:val="00396D2D"/>
    <w:rsid w:val="003B04ED"/>
    <w:rsid w:val="003B7BF1"/>
    <w:rsid w:val="003C1741"/>
    <w:rsid w:val="003C2B82"/>
    <w:rsid w:val="003D64B7"/>
    <w:rsid w:val="003E5BC8"/>
    <w:rsid w:val="00403539"/>
    <w:rsid w:val="00410153"/>
    <w:rsid w:val="00414542"/>
    <w:rsid w:val="0042057E"/>
    <w:rsid w:val="00422FD4"/>
    <w:rsid w:val="0043296B"/>
    <w:rsid w:val="00436858"/>
    <w:rsid w:val="00440689"/>
    <w:rsid w:val="00440DDA"/>
    <w:rsid w:val="004520EF"/>
    <w:rsid w:val="00456948"/>
    <w:rsid w:val="00471241"/>
    <w:rsid w:val="00476CC1"/>
    <w:rsid w:val="00480729"/>
    <w:rsid w:val="00484F95"/>
    <w:rsid w:val="004941C4"/>
    <w:rsid w:val="004A2734"/>
    <w:rsid w:val="004C0BA7"/>
    <w:rsid w:val="004C7DFF"/>
    <w:rsid w:val="004D65F4"/>
    <w:rsid w:val="004E3F34"/>
    <w:rsid w:val="004F1CD0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74A72"/>
    <w:rsid w:val="0058763C"/>
    <w:rsid w:val="005932EB"/>
    <w:rsid w:val="005A1688"/>
    <w:rsid w:val="005B2F6F"/>
    <w:rsid w:val="005B7C35"/>
    <w:rsid w:val="005C315B"/>
    <w:rsid w:val="005C7400"/>
    <w:rsid w:val="005C7BA6"/>
    <w:rsid w:val="005D3223"/>
    <w:rsid w:val="005E01D3"/>
    <w:rsid w:val="005E525A"/>
    <w:rsid w:val="00605182"/>
    <w:rsid w:val="00613508"/>
    <w:rsid w:val="00615C87"/>
    <w:rsid w:val="00621FD4"/>
    <w:rsid w:val="00631508"/>
    <w:rsid w:val="00665FCC"/>
    <w:rsid w:val="0066616C"/>
    <w:rsid w:val="00670E8E"/>
    <w:rsid w:val="006727ED"/>
    <w:rsid w:val="006737AA"/>
    <w:rsid w:val="0067586B"/>
    <w:rsid w:val="006B59D1"/>
    <w:rsid w:val="006D0822"/>
    <w:rsid w:val="006D1F16"/>
    <w:rsid w:val="006D744D"/>
    <w:rsid w:val="006E5443"/>
    <w:rsid w:val="006F17FE"/>
    <w:rsid w:val="006F5F8B"/>
    <w:rsid w:val="00702628"/>
    <w:rsid w:val="00713599"/>
    <w:rsid w:val="00747065"/>
    <w:rsid w:val="007512B6"/>
    <w:rsid w:val="00776D52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8E6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7D6C"/>
    <w:rsid w:val="00907F27"/>
    <w:rsid w:val="00907F42"/>
    <w:rsid w:val="00914134"/>
    <w:rsid w:val="00917FC2"/>
    <w:rsid w:val="00926D4D"/>
    <w:rsid w:val="00933B6E"/>
    <w:rsid w:val="0094267F"/>
    <w:rsid w:val="0096245A"/>
    <w:rsid w:val="00965F43"/>
    <w:rsid w:val="00970EF6"/>
    <w:rsid w:val="00975C8B"/>
    <w:rsid w:val="00983F1A"/>
    <w:rsid w:val="009850E9"/>
    <w:rsid w:val="0098678D"/>
    <w:rsid w:val="00990D22"/>
    <w:rsid w:val="009950A7"/>
    <w:rsid w:val="009A5ED7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7C3D"/>
    <w:rsid w:val="009F7E54"/>
    <w:rsid w:val="00A03F67"/>
    <w:rsid w:val="00A07EEB"/>
    <w:rsid w:val="00A10E6D"/>
    <w:rsid w:val="00A14F69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970ED"/>
    <w:rsid w:val="00AA372E"/>
    <w:rsid w:val="00AA382F"/>
    <w:rsid w:val="00AB4262"/>
    <w:rsid w:val="00AB4CB8"/>
    <w:rsid w:val="00AB5062"/>
    <w:rsid w:val="00AC4006"/>
    <w:rsid w:val="00AC4051"/>
    <w:rsid w:val="00AC4F5E"/>
    <w:rsid w:val="00AD2C6B"/>
    <w:rsid w:val="00AD7170"/>
    <w:rsid w:val="00AE5819"/>
    <w:rsid w:val="00AF521A"/>
    <w:rsid w:val="00AF62F9"/>
    <w:rsid w:val="00B013D4"/>
    <w:rsid w:val="00B0253C"/>
    <w:rsid w:val="00B047C3"/>
    <w:rsid w:val="00B13603"/>
    <w:rsid w:val="00B241F2"/>
    <w:rsid w:val="00B34912"/>
    <w:rsid w:val="00B3789E"/>
    <w:rsid w:val="00B74320"/>
    <w:rsid w:val="00B76EBF"/>
    <w:rsid w:val="00B81FC4"/>
    <w:rsid w:val="00B90232"/>
    <w:rsid w:val="00B971DF"/>
    <w:rsid w:val="00BB4CAE"/>
    <w:rsid w:val="00BD44EC"/>
    <w:rsid w:val="00BD5187"/>
    <w:rsid w:val="00BE0125"/>
    <w:rsid w:val="00BF2EA5"/>
    <w:rsid w:val="00BF3E3F"/>
    <w:rsid w:val="00C1095F"/>
    <w:rsid w:val="00C14E50"/>
    <w:rsid w:val="00C2670B"/>
    <w:rsid w:val="00C27AFC"/>
    <w:rsid w:val="00C34977"/>
    <w:rsid w:val="00C34F22"/>
    <w:rsid w:val="00C35881"/>
    <w:rsid w:val="00C655AF"/>
    <w:rsid w:val="00C71CCC"/>
    <w:rsid w:val="00C73F9B"/>
    <w:rsid w:val="00C96AEB"/>
    <w:rsid w:val="00CA4451"/>
    <w:rsid w:val="00CB649F"/>
    <w:rsid w:val="00CC003F"/>
    <w:rsid w:val="00CC105B"/>
    <w:rsid w:val="00CC75C8"/>
    <w:rsid w:val="00CD0BFF"/>
    <w:rsid w:val="00CE19C5"/>
    <w:rsid w:val="00CF071E"/>
    <w:rsid w:val="00CF2205"/>
    <w:rsid w:val="00CF4124"/>
    <w:rsid w:val="00D0731D"/>
    <w:rsid w:val="00D10AA5"/>
    <w:rsid w:val="00D22C0C"/>
    <w:rsid w:val="00D24355"/>
    <w:rsid w:val="00D24B93"/>
    <w:rsid w:val="00D266DA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E7FFE"/>
    <w:rsid w:val="00DF2A40"/>
    <w:rsid w:val="00DF5B95"/>
    <w:rsid w:val="00DF605A"/>
    <w:rsid w:val="00E019CF"/>
    <w:rsid w:val="00E109D4"/>
    <w:rsid w:val="00E36AA8"/>
    <w:rsid w:val="00E52E84"/>
    <w:rsid w:val="00E621E4"/>
    <w:rsid w:val="00E645B9"/>
    <w:rsid w:val="00E76E4E"/>
    <w:rsid w:val="00E908BF"/>
    <w:rsid w:val="00EB3E73"/>
    <w:rsid w:val="00EB6685"/>
    <w:rsid w:val="00EE2D69"/>
    <w:rsid w:val="00EE7913"/>
    <w:rsid w:val="00EF6A54"/>
    <w:rsid w:val="00F011BF"/>
    <w:rsid w:val="00F04CAC"/>
    <w:rsid w:val="00F13102"/>
    <w:rsid w:val="00F14490"/>
    <w:rsid w:val="00F22DDE"/>
    <w:rsid w:val="00F45A8B"/>
    <w:rsid w:val="00F65BB3"/>
    <w:rsid w:val="00F667E7"/>
    <w:rsid w:val="00F831F1"/>
    <w:rsid w:val="00F85FD2"/>
    <w:rsid w:val="00F90B45"/>
    <w:rsid w:val="00F91D70"/>
    <w:rsid w:val="00FA049D"/>
    <w:rsid w:val="00FB17F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B99"/>
  <w15:docId w15:val="{417F268D-2023-4558-8343-49B1941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y.deyaert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ni.quintelier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enouder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4E75-B85F-4AB0-9018-950CC3EF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2</cp:revision>
  <cp:lastPrinted>2020-11-06T08:41:00Z</cp:lastPrinted>
  <dcterms:created xsi:type="dcterms:W3CDTF">2020-11-19T17:54:00Z</dcterms:created>
  <dcterms:modified xsi:type="dcterms:W3CDTF">2020-11-19T17:54:00Z</dcterms:modified>
</cp:coreProperties>
</file>